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6B" w:rsidRPr="009064AC" w:rsidRDefault="0079266B" w:rsidP="0079266B">
      <w:pPr>
        <w:spacing w:line="500" w:lineRule="exact"/>
        <w:jc w:val="center"/>
        <w:rPr>
          <w:rFonts w:ascii="Century Gothic" w:eastAsia="微軟正黑體" w:hAnsi="Century Gothic"/>
          <w:b/>
          <w:sz w:val="32"/>
          <w:szCs w:val="22"/>
        </w:rPr>
      </w:pPr>
      <w:r w:rsidRPr="009064AC">
        <w:rPr>
          <w:rFonts w:ascii="Century Gothic" w:eastAsia="微軟正黑體" w:hAnsi="Century Gothic" w:hint="eastAsia"/>
          <w:b/>
          <w:sz w:val="32"/>
          <w:szCs w:val="22"/>
        </w:rPr>
        <w:t>10</w:t>
      </w:r>
      <w:r>
        <w:rPr>
          <w:rFonts w:ascii="Century Gothic" w:eastAsia="微軟正黑體" w:hAnsi="Century Gothic" w:hint="eastAsia"/>
          <w:b/>
          <w:sz w:val="32"/>
          <w:szCs w:val="22"/>
        </w:rPr>
        <w:t>6</w:t>
      </w:r>
      <w:r w:rsidRPr="0079266B">
        <w:rPr>
          <w:rFonts w:ascii="Century Gothic" w:eastAsia="微軟正黑體" w:hAnsi="Century Gothic" w:hint="eastAsia"/>
          <w:b/>
          <w:sz w:val="32"/>
          <w:szCs w:val="22"/>
        </w:rPr>
        <w:t>年生物安全第二等級微生物實驗室查核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作業</w:t>
      </w:r>
    </w:p>
    <w:p w:rsidR="0079266B" w:rsidRPr="009064AC" w:rsidRDefault="0079266B" w:rsidP="0079266B">
      <w:pPr>
        <w:spacing w:afterLines="50" w:after="180" w:line="500" w:lineRule="exact"/>
        <w:jc w:val="center"/>
        <w:rPr>
          <w:rFonts w:ascii="Century Gothic" w:eastAsia="微軟正黑體" w:hAnsi="Century Gothic"/>
          <w:b/>
          <w:sz w:val="32"/>
          <w:szCs w:val="22"/>
        </w:rPr>
      </w:pPr>
      <w:r w:rsidRPr="009064AC">
        <w:rPr>
          <w:rFonts w:ascii="Century Gothic" w:eastAsia="微軟正黑體" w:hAnsi="Century Gothic" w:hint="eastAsia"/>
          <w:b/>
          <w:sz w:val="32"/>
          <w:szCs w:val="22"/>
        </w:rPr>
        <w:t>【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保存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RG2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病原體場所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】自評表</w:t>
      </w:r>
    </w:p>
    <w:p w:rsidR="0079266B" w:rsidRPr="009064AC" w:rsidRDefault="0079266B" w:rsidP="0079266B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  <w:r>
        <w:rPr>
          <w:rFonts w:ascii="Century Gothic" w:eastAsia="微軟正黑體" w:hAnsi="Century Gothic" w:hint="eastAsia"/>
          <w:b/>
          <w:sz w:val="28"/>
          <w:szCs w:val="22"/>
        </w:rPr>
        <w:t>一、保存場所</w:t>
      </w:r>
      <w:r w:rsidRPr="009064AC">
        <w:rPr>
          <w:rFonts w:ascii="Century Gothic" w:eastAsia="微軟正黑體" w:hAnsi="Century Gothic" w:hint="eastAsia"/>
          <w:b/>
          <w:sz w:val="28"/>
          <w:szCs w:val="22"/>
        </w:rPr>
        <w:t>基本資料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410"/>
        <w:gridCol w:w="1417"/>
        <w:gridCol w:w="2829"/>
      </w:tblGrid>
      <w:tr w:rsidR="0079266B" w:rsidRPr="009064AC" w:rsidTr="008E6EBB">
        <w:tc>
          <w:tcPr>
            <w:tcW w:w="1696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保存場所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名稱</w:t>
            </w:r>
          </w:p>
        </w:tc>
        <w:tc>
          <w:tcPr>
            <w:tcW w:w="7932" w:type="dxa"/>
            <w:gridSpan w:val="4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696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保存場所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地址</w:t>
            </w:r>
          </w:p>
        </w:tc>
        <w:tc>
          <w:tcPr>
            <w:tcW w:w="7932" w:type="dxa"/>
            <w:gridSpan w:val="4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696" w:type="dxa"/>
            <w:vMerge w:val="restart"/>
            <w:vAlign w:val="center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聯絡窗口</w:t>
            </w:r>
          </w:p>
        </w:tc>
        <w:tc>
          <w:tcPr>
            <w:tcW w:w="1276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姓名</w:t>
            </w:r>
          </w:p>
        </w:tc>
        <w:tc>
          <w:tcPr>
            <w:tcW w:w="2410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417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職稱</w:t>
            </w:r>
          </w:p>
        </w:tc>
        <w:tc>
          <w:tcPr>
            <w:tcW w:w="2829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696" w:type="dxa"/>
            <w:vMerge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276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聯絡電話</w:t>
            </w:r>
          </w:p>
        </w:tc>
        <w:tc>
          <w:tcPr>
            <w:tcW w:w="2410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417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電子郵件</w:t>
            </w:r>
          </w:p>
        </w:tc>
        <w:tc>
          <w:tcPr>
            <w:tcW w:w="2829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696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填報日期</w:t>
            </w:r>
          </w:p>
        </w:tc>
        <w:tc>
          <w:tcPr>
            <w:tcW w:w="7932" w:type="dxa"/>
            <w:gridSpan w:val="4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10</w:t>
            </w:r>
            <w:r>
              <w:rPr>
                <w:rFonts w:ascii="Century Gothic" w:eastAsia="微軟正黑體" w:hAnsi="Century Gothic" w:hint="eastAsia"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 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 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日</w:t>
            </w:r>
          </w:p>
        </w:tc>
      </w:tr>
    </w:tbl>
    <w:p w:rsidR="0079266B" w:rsidRPr="009064AC" w:rsidRDefault="0079266B" w:rsidP="0079266B">
      <w:pPr>
        <w:spacing w:line="500" w:lineRule="exact"/>
        <w:rPr>
          <w:rFonts w:ascii="Century Gothic" w:eastAsia="微軟正黑體" w:hAnsi="Century Gothic"/>
          <w:szCs w:val="22"/>
        </w:rPr>
      </w:pPr>
    </w:p>
    <w:p w:rsidR="0079266B" w:rsidRPr="009064AC" w:rsidRDefault="0079266B" w:rsidP="0079266B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  <w:r>
        <w:rPr>
          <w:rFonts w:ascii="Century Gothic" w:eastAsia="微軟正黑體" w:hAnsi="Century Gothic" w:hint="eastAsia"/>
          <w:b/>
          <w:sz w:val="28"/>
          <w:szCs w:val="22"/>
        </w:rPr>
        <w:t>二、保存場所</w:t>
      </w:r>
      <w:r w:rsidRPr="009064AC">
        <w:rPr>
          <w:rFonts w:ascii="Century Gothic" w:eastAsia="微軟正黑體" w:hAnsi="Century Gothic" w:hint="eastAsia"/>
          <w:b/>
          <w:sz w:val="28"/>
          <w:szCs w:val="22"/>
        </w:rPr>
        <w:t>自評</w:t>
      </w:r>
    </w:p>
    <w:tbl>
      <w:tblPr>
        <w:tblStyle w:val="8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5528"/>
      </w:tblGrid>
      <w:tr w:rsidR="0079266B" w:rsidRPr="009064AC" w:rsidTr="008E6EBB">
        <w:trPr>
          <w:tblHeader/>
        </w:trPr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項次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題目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自評</w:t>
            </w:r>
          </w:p>
        </w:tc>
        <w:tc>
          <w:tcPr>
            <w:tcW w:w="5528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說明（自評為「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」者請填答此欄）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（由生物安全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管理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管理與維護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實驗室（保存場所）訂有相關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管理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文件並落實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2.1.1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每季更新疾病管制署「實驗室生物安全管理資訊系統」</w:t>
            </w:r>
            <w:r>
              <w:rPr>
                <w:rFonts w:ascii="Century Gothic" w:eastAsia="微軟正黑體" w:hAnsi="Century Gothic" w:hint="eastAsia"/>
                <w:szCs w:val="22"/>
              </w:rPr>
              <w:t>之「基本實驗室基本資料設定」內容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</w:t>
            </w:r>
            <w:r>
              <w:rPr>
                <w:rFonts w:ascii="Century Gothic" w:eastAsia="微軟正黑體" w:hAnsi="Century Gothic" w:hint="eastAsia"/>
                <w:szCs w:val="22"/>
              </w:rPr>
              <w:t>簡述達成情形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0C4936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2.1.2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已妥善管理相關文件記錄，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具機敏性之資料已落實保全管理？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文件管理制度：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文件保全</w:t>
            </w:r>
            <w:r>
              <w:rPr>
                <w:rFonts w:ascii="Century Gothic" w:eastAsia="微軟正黑體" w:hAnsi="Century Gothic" w:hint="eastAsia"/>
                <w:szCs w:val="22"/>
              </w:rPr>
              <w:t>機制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493FFA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rPr>
          <w:trHeight w:val="50"/>
        </w:trPr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設有門禁管制並標示安全資訊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2.2.1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</w:t>
            </w:r>
            <w:r>
              <w:rPr>
                <w:rFonts w:ascii="Century Gothic" w:eastAsia="微軟正黑體" w:hAnsi="Century Gothic" w:hint="eastAsia"/>
                <w:szCs w:val="22"/>
              </w:rPr>
              <w:t>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有門禁管制</w:t>
            </w:r>
            <w:r>
              <w:rPr>
                <w:rFonts w:ascii="Century Gothic" w:eastAsia="微軟正黑體" w:hAnsi="Century Gothic" w:hint="eastAsia"/>
                <w:szCs w:val="22"/>
              </w:rPr>
              <w:t>及相關授權機制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請簡述實驗室門禁管制措施：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請簡述如何取得授權：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2.2.</w:t>
            </w: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已針對出入實驗室之非常規人員採行管制措施？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登錄哪些資訊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姓名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進出日期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時間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事由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請說明登錄方式：</w:t>
            </w:r>
          </w:p>
          <w:p w:rsidR="0079266B" w:rsidRPr="00F12442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2.3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保存場所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使用檢測合格且正常運轉之生物安全櫃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已有使用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請說明該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之等級（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C</w:t>
            </w:r>
            <w:r w:rsidRPr="009064AC">
              <w:rPr>
                <w:rFonts w:ascii="Century Gothic" w:eastAsia="微軟正黑體" w:hAnsi="Century Gothic"/>
                <w:szCs w:val="22"/>
              </w:rPr>
              <w:t>lass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）：</w:t>
            </w:r>
            <w:r w:rsidRPr="009064AC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 w:cs="微軟正黑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 xml:space="preserve">Ⅰ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新細明體" w:hint="eastAsia"/>
                <w:szCs w:val="22"/>
              </w:rPr>
              <w:t xml:space="preserve">Ⅲ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-A1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-A2 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-B1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>-B2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之廠牌與型號：</w:t>
            </w:r>
          </w:p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裝設位置適當？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裝設位置：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F447C6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現行位置保留之周邊空間，可否從事清潔、消毒及檢測工作：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微軟正黑體" w:eastAsia="微軟正黑體" w:hAnsi="微軟正黑體" w:hint="eastAsia"/>
                <w:szCs w:val="22"/>
              </w:rPr>
              <w:t>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F447C6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2.3.3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開口處之氣流方向保持流入</w:t>
            </w: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的狀態？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請簡述如何確認：</w:t>
            </w:r>
          </w:p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櫃內整潔，且符合相關要求？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櫃內</w:t>
            </w:r>
            <w:r>
              <w:rPr>
                <w:rFonts w:ascii="Century Gothic" w:eastAsia="微軟正黑體" w:hAnsi="Century Gothic" w:hint="eastAsia"/>
                <w:szCs w:val="22"/>
              </w:rPr>
              <w:t>常擺放之</w:t>
            </w:r>
            <w:r>
              <w:rPr>
                <w:rFonts w:ascii="Century Gothic" w:eastAsia="微軟正黑體" w:hAnsi="Century Gothic"/>
                <w:szCs w:val="22"/>
              </w:rPr>
              <w:t>物品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是否有放置</w:t>
            </w:r>
            <w:r w:rsidRPr="009064AC">
              <w:rPr>
                <w:rFonts w:ascii="Century Gothic" w:eastAsia="微軟正黑體" w:hAnsi="Century Gothic"/>
                <w:szCs w:val="22"/>
              </w:rPr>
              <w:t>易傾倒容器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是否有放置酒精燈：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3C4471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每年執行</w:t>
            </w:r>
            <w:r>
              <w:rPr>
                <w:rFonts w:ascii="Century Gothic" w:eastAsia="微軟正黑體" w:hAnsi="Century Gothic" w:hint="eastAsia"/>
                <w:szCs w:val="22"/>
              </w:rPr>
              <w:t>至少</w:t>
            </w:r>
            <w:r w:rsidRPr="009064AC">
              <w:rPr>
                <w:rFonts w:ascii="Century Gothic" w:eastAsia="微軟正黑體" w:hAnsi="Century Gothic"/>
                <w:szCs w:val="22"/>
              </w:rPr>
              <w:t>1</w:t>
            </w:r>
            <w:r w:rsidRPr="009064AC">
              <w:rPr>
                <w:rFonts w:ascii="Century Gothic" w:eastAsia="微軟正黑體" w:hAnsi="Century Gothic"/>
                <w:szCs w:val="22"/>
              </w:rPr>
              <w:t>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年度</w:t>
            </w:r>
            <w:r w:rsidRPr="009064AC">
              <w:rPr>
                <w:rFonts w:ascii="Century Gothic" w:eastAsia="微軟正黑體" w:hAnsi="Century Gothic"/>
                <w:szCs w:val="22"/>
              </w:rPr>
              <w:t>檢測作業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說明最近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年度檢測情形：</w:t>
            </w:r>
          </w:p>
          <w:p w:rsidR="0079266B" w:rsidRPr="009064AC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檢測時間：</w:t>
            </w:r>
          </w:p>
          <w:p w:rsidR="0079266B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施行檢測單位：</w:t>
            </w:r>
          </w:p>
          <w:p w:rsidR="0079266B" w:rsidRPr="003C4471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請列出檢測項目與檢測結果：</w:t>
            </w:r>
          </w:p>
          <w:p w:rsidR="0079266B" w:rsidRPr="009064AC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簡述實驗室依檢測結果進行哪些處理措施：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說明下一次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預計年度檢測時間：</w:t>
            </w:r>
          </w:p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4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實驗室已使用相關安全設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施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2.4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實驗室已設置相關設施？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2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請說明相關設施之設置情形：</w:t>
            </w:r>
          </w:p>
          <w:p w:rsidR="0079266B" w:rsidRDefault="0079266B" w:rsidP="006550B3">
            <w:pPr>
              <w:numPr>
                <w:ilvl w:val="1"/>
                <w:numId w:val="2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水槽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已設置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t>#</w:t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未設置</w:t>
            </w:r>
          </w:p>
          <w:p w:rsidR="0079266B" w:rsidRDefault="0079266B" w:rsidP="006550B3">
            <w:pPr>
              <w:pStyle w:val="aa"/>
              <w:numPr>
                <w:ilvl w:val="0"/>
                <w:numId w:val="47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設置位置：</w:t>
            </w:r>
          </w:p>
          <w:p w:rsidR="0079266B" w:rsidRPr="005406EB" w:rsidRDefault="0079266B" w:rsidP="006550B3">
            <w:pPr>
              <w:pStyle w:val="aa"/>
              <w:numPr>
                <w:ilvl w:val="0"/>
                <w:numId w:val="47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是否為免手動給水：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1"/>
                <w:numId w:val="2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消防系統</w:t>
            </w:r>
            <w:r>
              <w:rPr>
                <w:rFonts w:ascii="Century Gothic" w:eastAsia="微軟正黑體" w:hAnsi="Century Gothic" w:hint="eastAsia"/>
                <w:szCs w:val="22"/>
              </w:rPr>
              <w:t>（請選擇已設有之項目）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568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避難指標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Cs w:val="22"/>
              </w:rPr>
              <w:t>避難方向指示燈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568"/>
              <w:rPr>
                <w:rFonts w:ascii="微軟正黑體" w:eastAsia="微軟正黑體" w:hAnsi="微軟正黑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火警警報裝置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滅火器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偵煙器</w:t>
            </w:r>
          </w:p>
          <w:p w:rsidR="0079266B" w:rsidRPr="005406EB" w:rsidRDefault="0079266B" w:rsidP="008E6EBB">
            <w:pPr>
              <w:spacing w:line="400" w:lineRule="exact"/>
              <w:ind w:left="568"/>
              <w:rPr>
                <w:rFonts w:ascii="微軟正黑體" w:eastAsia="微軟正黑體" w:hAnsi="微軟正黑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火警自動灑水警報系統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其他</w:t>
            </w:r>
          </w:p>
          <w:p w:rsidR="0079266B" w:rsidRDefault="0079266B" w:rsidP="006550B3">
            <w:pPr>
              <w:numPr>
                <w:ilvl w:val="1"/>
                <w:numId w:val="2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實驗室具有充分照明：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2.4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實驗室工作檯符合要求？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工作檯表面是否防滲：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工作檯表面是否耐熱及抗有機溶劑、酸鹼及其他化學品：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</w:t>
            </w:r>
            <w:r>
              <w:rPr>
                <w:rFonts w:ascii="Century Gothic" w:eastAsia="微軟正黑體" w:hAnsi="Century Gothic" w:hint="eastAsia"/>
                <w:szCs w:val="22"/>
              </w:rPr>
              <w:t>4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實驗室使用之座椅符合要求？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B02FF2" w:rsidRPr="009064AC" w:rsidRDefault="00B02FF2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座椅是否為不附輪或可固定：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座椅表層是否包覆無孔材質材料：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3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感染性生物材料管理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E2EFD9" w:themeFill="accent6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3</w:t>
            </w: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妥善管理持有或保存之感染性生物材料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3.1.1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3.1.2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3.1.3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615C5A">
              <w:rPr>
                <w:rFonts w:ascii="Century Gothic" w:eastAsia="微軟正黑體" w:hAnsi="Century Gothic" w:hint="eastAsia"/>
              </w:rPr>
              <w:t>定期盤點</w:t>
            </w:r>
            <w:r w:rsidRPr="00615C5A">
              <w:rPr>
                <w:rFonts w:ascii="Century Gothic" w:eastAsia="微軟正黑體" w:hAnsi="Century Gothic" w:hint="eastAsia"/>
              </w:rPr>
              <w:t>RG2</w:t>
            </w:r>
            <w:r w:rsidRPr="00615C5A">
              <w:rPr>
                <w:rFonts w:ascii="Century Gothic" w:eastAsia="微軟正黑體" w:hAnsi="Century Gothic" w:hint="eastAsia"/>
              </w:rPr>
              <w:t>以上微生物及生物毒素</w:t>
            </w:r>
            <w:r>
              <w:rPr>
                <w:rFonts w:ascii="Century Gothic" w:eastAsia="微軟正黑體" w:hAnsi="Century Gothic" w:hint="eastAsia"/>
              </w:rPr>
              <w:t>，且</w:t>
            </w:r>
            <w:r w:rsidRPr="00615C5A">
              <w:rPr>
                <w:rFonts w:ascii="Century Gothic" w:eastAsia="微軟正黑體" w:hAnsi="Century Gothic" w:hint="eastAsia"/>
              </w:rPr>
              <w:t>將盤點結果</w:t>
            </w:r>
            <w:r>
              <w:rPr>
                <w:rFonts w:ascii="Century Gothic" w:eastAsia="微軟正黑體" w:hAnsi="Century Gothic" w:hint="eastAsia"/>
              </w:rPr>
              <w:t>回</w:t>
            </w:r>
            <w:r w:rsidRPr="00615C5A">
              <w:rPr>
                <w:rFonts w:ascii="Century Gothic" w:eastAsia="微軟正黑體" w:hAnsi="Century Gothic" w:hint="eastAsia"/>
              </w:rPr>
              <w:t>報生物安全會？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Pr="00D624D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RG2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以上微生物或生物毒素之實驗室，請填答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D07D07">
              <w:rPr>
                <w:rFonts w:ascii="Century Gothic" w:eastAsia="微軟正黑體" w:hAnsi="Century Gothic" w:hint="eastAsia"/>
                <w:szCs w:val="22"/>
              </w:rPr>
              <w:t>盤點頻率：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D07D07">
              <w:rPr>
                <w:rFonts w:ascii="Century Gothic" w:eastAsia="微軟正黑體" w:hAnsi="Century Gothic" w:hint="eastAsia"/>
                <w:szCs w:val="22"/>
              </w:rPr>
              <w:t>最近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次盤點日期：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前項盤點結果：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3.1.4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3.1.5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落實感染性生物材料保全措施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已分區儲放感染性生物材料？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RG2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以上微生物及生物毒素之儲放設備（區域）符合要求？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FE241A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RG2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以上微生物或生物毒素之實驗室，請填答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儲放</w:t>
            </w:r>
            <w:r>
              <w:rPr>
                <w:rFonts w:ascii="Century Gothic" w:eastAsia="微軟正黑體" w:hAnsi="Century Gothic" w:hint="eastAsia"/>
                <w:szCs w:val="22"/>
              </w:rPr>
              <w:t>有相關材料之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設備</w:t>
            </w:r>
            <w:r>
              <w:rPr>
                <w:rFonts w:ascii="Century Gothic" w:eastAsia="微軟正黑體" w:hAnsi="Century Gothic" w:hint="eastAsia"/>
                <w:szCs w:val="22"/>
              </w:rPr>
              <w:t>是否已上鎖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請說明前項設備放置之地點：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Century Gothic" w:eastAsia="微軟正黑體" w:hAnsi="Century Gothic" w:hint="eastAsia"/>
                <w:szCs w:val="22"/>
              </w:rPr>
              <w:t>前項所述地點是否設有門禁管制：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FE241A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請簡述如何限制實驗室人員存取材料之權限或可進入之區域等級：</w:t>
            </w:r>
          </w:p>
          <w:p w:rsidR="0079266B" w:rsidRPr="00FE241A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</w:t>
            </w:r>
            <w:r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進入材料保存區域之人員已佩帶</w:t>
            </w:r>
            <w:r>
              <w:rPr>
                <w:rFonts w:ascii="Century Gothic" w:eastAsia="微軟正黑體" w:hAnsi="Century Gothic" w:hint="eastAsia"/>
                <w:szCs w:val="22"/>
              </w:rPr>
              <w:t>身分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識別證</w:t>
            </w:r>
            <w:r>
              <w:rPr>
                <w:rFonts w:ascii="Century Gothic" w:eastAsia="微軟正黑體" w:hAnsi="Century Gothic" w:hint="eastAsia"/>
                <w:szCs w:val="22"/>
              </w:rPr>
              <w:t>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D624D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3.2.5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已針對相關感染性生物材料訂定去活化程序？</w:t>
            </w:r>
          </w:p>
        </w:tc>
        <w:tc>
          <w:tcPr>
            <w:tcW w:w="1134" w:type="dxa"/>
          </w:tcPr>
          <w:p w:rsidR="0079266B" w:rsidRPr="00706037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79266B" w:rsidRPr="00706037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3.2.6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生物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保全緊急應變計畫？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RG2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以上病原體或生物毒素之實驗室，請填答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該文件</w:t>
            </w:r>
            <w:r>
              <w:rPr>
                <w:rFonts w:ascii="Century Gothic" w:eastAsia="微軟正黑體" w:hAnsi="Century Gothic" w:hint="eastAsia"/>
                <w:szCs w:val="22"/>
              </w:rPr>
              <w:t>最近</w:t>
            </w: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>
              <w:rPr>
                <w:rFonts w:ascii="Century Gothic" w:eastAsia="微軟正黑體" w:hAnsi="Century Gothic" w:hint="eastAsia"/>
                <w:szCs w:val="22"/>
              </w:rPr>
              <w:t>次修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訂日期：</w:t>
            </w:r>
          </w:p>
          <w:p w:rsidR="0079266B" w:rsidRPr="00706037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</w:t>
            </w:r>
            <w:r>
              <w:rPr>
                <w:rFonts w:ascii="Century Gothic" w:eastAsia="微軟正黑體" w:hAnsi="Century Gothic" w:hint="eastAsia"/>
                <w:szCs w:val="22"/>
              </w:rPr>
              <w:t>7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.3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感染性生物材料之運送及包裝符合相關規定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.3.1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已訂定感染性生物材料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運</w:t>
            </w:r>
            <w:r>
              <w:rPr>
                <w:rFonts w:ascii="Century Gothic" w:eastAsia="微軟正黑體" w:hAnsi="Century Gothic" w:hint="eastAsia"/>
                <w:szCs w:val="22"/>
              </w:rPr>
              <w:t>送與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包裝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管理規範？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【實驗室或保存場所無運送感染性生物材料之事實時，請填答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2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Default="0079266B" w:rsidP="006550B3">
            <w:pPr>
              <w:numPr>
                <w:ilvl w:val="0"/>
                <w:numId w:val="2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文件已訂有以下哪些內容：【可複選】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適用規定對象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相關運送要求與申請程序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各類材料於運送時應使用之包裝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相關單位與人員之聯絡資訊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意外事件處理與通報程序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相關文件及表單格式。</w:t>
            </w:r>
          </w:p>
          <w:p w:rsidR="0079266B" w:rsidRPr="004171F7" w:rsidRDefault="0079266B" w:rsidP="006550B3">
            <w:pPr>
              <w:numPr>
                <w:ilvl w:val="0"/>
                <w:numId w:val="2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3.3.2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已使用符合要求之容器運送感染性生物材料？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【實驗室或保存場所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未於機構內傳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送感染性生物材料時，請填答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請說明運送容器使用之材質：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請說明運送容器</w:t>
            </w:r>
            <w:r>
              <w:rPr>
                <w:rFonts w:ascii="Century Gothic" w:eastAsia="微軟正黑體" w:hAnsi="Century Gothic" w:hint="eastAsia"/>
                <w:szCs w:val="22"/>
              </w:rPr>
              <w:t>符合以下哪些特性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堅固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耐碰撞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防穿刺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防漏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有蓋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運送途中是否會更換運送人員：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會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/>
                <w:szCs w:val="22"/>
              </w:rPr>
              <w:t>不會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視情形（請說明）</w:t>
            </w:r>
            <w:r>
              <w:rPr>
                <w:rFonts w:ascii="Century Gothic" w:eastAsia="微軟正黑體" w:hAnsi="Century Gothic"/>
                <w:szCs w:val="22"/>
              </w:rPr>
              <w:t>：</w:t>
            </w:r>
          </w:p>
          <w:p w:rsidR="0079266B" w:rsidRPr="004171F7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.3.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將感染性生物材料運送至機構外</w:t>
            </w:r>
            <w:r>
              <w:rPr>
                <w:rFonts w:ascii="Century Gothic" w:eastAsia="微軟正黑體" w:hAnsi="Century Gothic" w:hint="eastAsia"/>
                <w:szCs w:val="22"/>
              </w:rPr>
              <w:t>時使用合適的三層包裝，且符合相關規定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【實驗室未有將感染性生物材料運送至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機構外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時，請填答「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」】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請簡述使用之三層包裝系統：</w:t>
            </w:r>
          </w:p>
          <w:p w:rsidR="0079266B" w:rsidRDefault="0079266B" w:rsidP="006550B3">
            <w:pPr>
              <w:pStyle w:val="aa"/>
              <w:numPr>
                <w:ilvl w:val="0"/>
                <w:numId w:val="5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第一層（最內層）：</w:t>
            </w:r>
          </w:p>
          <w:p w:rsidR="0079266B" w:rsidRDefault="0079266B" w:rsidP="006550B3">
            <w:pPr>
              <w:pStyle w:val="aa"/>
              <w:numPr>
                <w:ilvl w:val="0"/>
                <w:numId w:val="5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第二層（中間層）：</w:t>
            </w:r>
          </w:p>
          <w:p w:rsidR="0079266B" w:rsidRPr="00D947E5" w:rsidRDefault="0079266B" w:rsidP="006550B3">
            <w:pPr>
              <w:pStyle w:val="aa"/>
              <w:numPr>
                <w:ilvl w:val="0"/>
                <w:numId w:val="5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第三層（外包裝）：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請說明外包裝標示</w:t>
            </w:r>
            <w:r>
              <w:rPr>
                <w:rFonts w:ascii="Century Gothic" w:eastAsia="微軟正黑體" w:hAnsi="Century Gothic" w:hint="eastAsia"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哪些資訊：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請簡述使用之運送方式、交通工具及採取該運送方式之時機或原因：</w:t>
            </w:r>
          </w:p>
          <w:p w:rsidR="0079266B" w:rsidRPr="00D947E5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D9E2F3" w:themeFill="accent5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4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持續性教育訓練與資源應用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E2EFD9" w:themeFill="accent6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4</w:t>
            </w: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已提供完善的實驗室生物安全訓練課程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947E5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4.1.2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947E5">
              <w:rPr>
                <w:rFonts w:ascii="Century Gothic" w:eastAsia="微軟正黑體" w:hAnsi="Century Gothic"/>
                <w:szCs w:val="22"/>
              </w:rPr>
              <w:t>受查核實驗室人員已達成</w:t>
            </w:r>
            <w:r>
              <w:rPr>
                <w:rFonts w:ascii="Century Gothic" w:eastAsia="微軟正黑體" w:hAnsi="Century Gothic" w:hint="eastAsia"/>
                <w:szCs w:val="22"/>
              </w:rPr>
              <w:t>法定</w:t>
            </w:r>
            <w:r w:rsidRPr="00D947E5">
              <w:rPr>
                <w:rFonts w:ascii="Century Gothic" w:eastAsia="微軟正黑體" w:hAnsi="Century Gothic"/>
                <w:szCs w:val="22"/>
              </w:rPr>
              <w:t>訓練時數要求</w:t>
            </w:r>
            <w:r w:rsidRPr="00D947E5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D947E5" w:rsidRDefault="0079266B" w:rsidP="006550B3">
            <w:pPr>
              <w:pStyle w:val="aa"/>
              <w:numPr>
                <w:ilvl w:val="0"/>
                <w:numId w:val="5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615C5A">
              <w:rPr>
                <w:rFonts w:ascii="Century Gothic" w:eastAsia="微軟正黑體" w:hAnsi="Century Gothic" w:hint="eastAsia"/>
              </w:rPr>
              <w:t>請說明</w:t>
            </w:r>
            <w:r>
              <w:rPr>
                <w:rFonts w:ascii="Century Gothic" w:eastAsia="微軟正黑體" w:hAnsi="Century Gothic" w:hint="eastAsia"/>
              </w:rPr>
              <w:t>105</w:t>
            </w:r>
            <w:r w:rsidRPr="00615C5A">
              <w:rPr>
                <w:rFonts w:ascii="Century Gothic" w:eastAsia="微軟正黑體" w:hAnsi="Century Gothic" w:hint="eastAsia"/>
              </w:rPr>
              <w:t>年度相關人員完成情形（已完成人數</w:t>
            </w:r>
            <w:r w:rsidRPr="00615C5A">
              <w:rPr>
                <w:rFonts w:ascii="Century Gothic" w:eastAsia="微軟正黑體" w:hAnsi="Century Gothic" w:hint="eastAsia"/>
              </w:rPr>
              <w:t>/</w:t>
            </w:r>
            <w:r w:rsidRPr="00615C5A">
              <w:rPr>
                <w:rFonts w:ascii="Century Gothic" w:eastAsia="微軟正黑體" w:hAnsi="Century Gothic" w:hint="eastAsia"/>
              </w:rPr>
              <w:t>應完成人數）</w:t>
            </w:r>
            <w:r>
              <w:rPr>
                <w:rFonts w:ascii="Century Gothic" w:eastAsia="微軟正黑體" w:hAnsi="Century Gothic" w:hint="eastAsia"/>
              </w:rPr>
              <w:t>：</w:t>
            </w:r>
          </w:p>
          <w:p w:rsidR="0079266B" w:rsidRPr="00D947E5" w:rsidRDefault="0079266B" w:rsidP="006550B3">
            <w:pPr>
              <w:pStyle w:val="aa"/>
              <w:numPr>
                <w:ilvl w:val="1"/>
                <w:numId w:val="5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szCs w:val="22"/>
              </w:rPr>
              <w:t>在職人員：</w:t>
            </w:r>
          </w:p>
          <w:p w:rsidR="0079266B" w:rsidRPr="00D947E5" w:rsidRDefault="0079266B" w:rsidP="006550B3">
            <w:pPr>
              <w:pStyle w:val="aa"/>
              <w:numPr>
                <w:ilvl w:val="1"/>
                <w:numId w:val="5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新進人員（</w:t>
            </w:r>
            <w:r w:rsidRPr="00615C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無新進人員</w:t>
            </w:r>
            <w:r>
              <w:rPr>
                <w:rFonts w:ascii="Century Gothic" w:eastAsia="微軟正黑體" w:hAnsi="Century Gothic" w:hint="eastAsia"/>
                <w:szCs w:val="22"/>
              </w:rPr>
              <w:t>）：</w:t>
            </w:r>
          </w:p>
          <w:p w:rsidR="0079266B" w:rsidRPr="00D947E5" w:rsidRDefault="0079266B" w:rsidP="006550B3">
            <w:pPr>
              <w:pStyle w:val="aa"/>
              <w:numPr>
                <w:ilvl w:val="0"/>
                <w:numId w:val="5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4.1.3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5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實驗室人員安全防護與健康措施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5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已穿著適當個人防護裝備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PPE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.1.1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實驗室人員已穿著適當防護裝備？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請列出實驗室人員穿著之防護裝備【可複選】：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實驗衣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拋棄式手套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口罩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Cs w:val="22"/>
              </w:rPr>
              <w:t>（請說明）：</w:t>
            </w:r>
          </w:p>
          <w:p w:rsidR="0079266B" w:rsidRPr="00367356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.1.2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實驗室（保存場所）已備有眼部防護具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請說明使用之眼部防護具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【可複選】：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護目鏡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拋棄式防護面罩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請說明需使用上開防護具之時機：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.1.3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實驗室人員已</w:t>
            </w:r>
            <w:r>
              <w:rPr>
                <w:rFonts w:ascii="Century Gothic" w:eastAsia="微軟正黑體" w:hAnsi="Century Gothic" w:hint="eastAsia"/>
                <w:szCs w:val="22"/>
              </w:rPr>
              <w:t>於規定時機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落實洗手步驟？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Century Gothic" w:eastAsia="微軟正黑體" w:hAnsi="Century Gothic" w:hint="eastAsia"/>
                <w:szCs w:val="22"/>
              </w:rPr>
              <w:t>請說明已規範實驗室人員須執行洗手步驟之時機【可複選】：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/>
                <w:szCs w:val="22"/>
              </w:rPr>
              <w:t>手部有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污染之虞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/>
                <w:szCs w:val="22"/>
              </w:rPr>
              <w:t>結束實驗操作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離開實驗室前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上開人員執行洗手步驟時，使用之洗手方式：</w:t>
            </w:r>
          </w:p>
          <w:p w:rsidR="0079266B" w:rsidRPr="00367356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溼洗手（請說明洗手設施位置）：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乾洗手（續答＃題）：</w:t>
            </w:r>
          </w:p>
          <w:p w:rsidR="0079266B" w:rsidRDefault="0079266B" w:rsidP="006550B3">
            <w:pPr>
              <w:pStyle w:val="aa"/>
              <w:numPr>
                <w:ilvl w:val="0"/>
                <w:numId w:val="53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請說明提供之乾洗手成分：</w:t>
            </w:r>
          </w:p>
          <w:p w:rsidR="0079266B" w:rsidRPr="00367356" w:rsidRDefault="0079266B" w:rsidP="006550B3">
            <w:pPr>
              <w:pStyle w:val="aa"/>
              <w:numPr>
                <w:ilvl w:val="0"/>
                <w:numId w:val="53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最近之洗手設施位置：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5.2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（由生物安全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管理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6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緊急應變與意外事件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（由生物安全組織填答）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已訂有意外事件處理機制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206C4C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感染性生物材料洩漏處理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程序？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Pr="009064AC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請說明相關程序之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張貼</w:t>
            </w:r>
            <w:r>
              <w:rPr>
                <w:rFonts w:ascii="Century Gothic" w:eastAsia="微軟正黑體" w:hAnsi="Century Gothic" w:hint="eastAsia"/>
                <w:szCs w:val="22"/>
              </w:rPr>
              <w:t>地點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請說明如何確認實驗室人員已完成文件閱讀：</w:t>
            </w:r>
          </w:p>
          <w:p w:rsidR="0079266B" w:rsidRPr="00C74704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.2</w:t>
            </w:r>
            <w:r>
              <w:rPr>
                <w:rFonts w:ascii="Century Gothic" w:eastAsia="微軟正黑體" w:hAnsi="Century Gothic" w:hint="eastAsia"/>
                <w:szCs w:val="22"/>
              </w:rPr>
              <w:t>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已適時修訂實驗室意外事件之處理與通報程序？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相關文件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最近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次修訂日期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請簡述修訂內容與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修訂原因：</w:t>
            </w:r>
          </w:p>
          <w:p w:rsidR="0079266B" w:rsidRPr="009064AC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</w:tbl>
    <w:p w:rsidR="00FC7A27" w:rsidRDefault="00FC7A27"/>
    <w:sectPr w:rsidR="00FC7A27" w:rsidSect="007926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24" w:rsidRDefault="000F2424" w:rsidP="0079266B">
      <w:r>
        <w:separator/>
      </w:r>
    </w:p>
  </w:endnote>
  <w:endnote w:type="continuationSeparator" w:id="0">
    <w:p w:rsidR="000F2424" w:rsidRDefault="000F2424" w:rsidP="007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24" w:rsidRDefault="000F2424" w:rsidP="0079266B">
      <w:r>
        <w:separator/>
      </w:r>
    </w:p>
  </w:footnote>
  <w:footnote w:type="continuationSeparator" w:id="0">
    <w:p w:rsidR="000F2424" w:rsidRDefault="000F2424" w:rsidP="0079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AF2"/>
    <w:multiLevelType w:val="hybridMultilevel"/>
    <w:tmpl w:val="2D86BCF0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55F2B"/>
    <w:multiLevelType w:val="hybridMultilevel"/>
    <w:tmpl w:val="54FC9DF0"/>
    <w:lvl w:ilvl="0" w:tplc="EEE091F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170E1"/>
    <w:multiLevelType w:val="hybridMultilevel"/>
    <w:tmpl w:val="546E57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CE74C4"/>
    <w:multiLevelType w:val="hybridMultilevel"/>
    <w:tmpl w:val="AFD4CAC8"/>
    <w:lvl w:ilvl="0" w:tplc="49049CCC">
      <w:start w:val="1"/>
      <w:numFmt w:val="bullet"/>
      <w:lvlText w:val="＃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05BF137A"/>
    <w:multiLevelType w:val="hybridMultilevel"/>
    <w:tmpl w:val="801ADCDA"/>
    <w:lvl w:ilvl="0" w:tplc="5318565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6B6858"/>
    <w:multiLevelType w:val="hybridMultilevel"/>
    <w:tmpl w:val="11E6F3FC"/>
    <w:lvl w:ilvl="0" w:tplc="D29E85E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46751"/>
    <w:multiLevelType w:val="hybridMultilevel"/>
    <w:tmpl w:val="C994AFA4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8106CDD"/>
    <w:multiLevelType w:val="hybridMultilevel"/>
    <w:tmpl w:val="4FFE192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83A4C1C"/>
    <w:multiLevelType w:val="hybridMultilevel"/>
    <w:tmpl w:val="1DF6D2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9873D80"/>
    <w:multiLevelType w:val="hybridMultilevel"/>
    <w:tmpl w:val="E8CEBFFA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A162DC7"/>
    <w:multiLevelType w:val="hybridMultilevel"/>
    <w:tmpl w:val="210C33F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FFF5B9C"/>
    <w:multiLevelType w:val="hybridMultilevel"/>
    <w:tmpl w:val="92FE8BA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5371E89"/>
    <w:multiLevelType w:val="hybridMultilevel"/>
    <w:tmpl w:val="6826E8B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1AE7521F"/>
    <w:multiLevelType w:val="hybridMultilevel"/>
    <w:tmpl w:val="7C52DDB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1D3A6064"/>
    <w:multiLevelType w:val="hybridMultilevel"/>
    <w:tmpl w:val="589CAA66"/>
    <w:lvl w:ilvl="0" w:tplc="49049CCC">
      <w:start w:val="1"/>
      <w:numFmt w:val="bullet"/>
      <w:lvlText w:val="＃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 w15:restartNumberingAfterBreak="0">
    <w:nsid w:val="20BF7451"/>
    <w:multiLevelType w:val="hybridMultilevel"/>
    <w:tmpl w:val="E2AC84E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FF0CF2"/>
    <w:multiLevelType w:val="hybridMultilevel"/>
    <w:tmpl w:val="5EB836BE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216B476F"/>
    <w:multiLevelType w:val="hybridMultilevel"/>
    <w:tmpl w:val="B7B6442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243264A"/>
    <w:multiLevelType w:val="hybridMultilevel"/>
    <w:tmpl w:val="59E65058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23D60CC6"/>
    <w:multiLevelType w:val="hybridMultilevel"/>
    <w:tmpl w:val="B658F19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6955AC1"/>
    <w:multiLevelType w:val="hybridMultilevel"/>
    <w:tmpl w:val="64F23798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96716B3"/>
    <w:multiLevelType w:val="hybridMultilevel"/>
    <w:tmpl w:val="E5AA30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ED47E6"/>
    <w:multiLevelType w:val="hybridMultilevel"/>
    <w:tmpl w:val="AC9EC75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DFE1CCA"/>
    <w:multiLevelType w:val="hybridMultilevel"/>
    <w:tmpl w:val="7924CDD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F3D63EB"/>
    <w:multiLevelType w:val="hybridMultilevel"/>
    <w:tmpl w:val="FF26FD2E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36715823"/>
    <w:multiLevelType w:val="hybridMultilevel"/>
    <w:tmpl w:val="126073E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7504873"/>
    <w:multiLevelType w:val="hybridMultilevel"/>
    <w:tmpl w:val="419EB7A6"/>
    <w:lvl w:ilvl="0" w:tplc="49049CCC">
      <w:start w:val="1"/>
      <w:numFmt w:val="bullet"/>
      <w:lvlText w:val="＃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7" w15:restartNumberingAfterBreak="0">
    <w:nsid w:val="3780722D"/>
    <w:multiLevelType w:val="hybridMultilevel"/>
    <w:tmpl w:val="006CABE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9681678"/>
    <w:multiLevelType w:val="hybridMultilevel"/>
    <w:tmpl w:val="5B4A952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3BB672B3"/>
    <w:multiLevelType w:val="hybridMultilevel"/>
    <w:tmpl w:val="3AA2CE2C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0" w15:restartNumberingAfterBreak="0">
    <w:nsid w:val="406D473D"/>
    <w:multiLevelType w:val="hybridMultilevel"/>
    <w:tmpl w:val="5A5614A4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2AF7FE4"/>
    <w:multiLevelType w:val="hybridMultilevel"/>
    <w:tmpl w:val="E370E3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F2C0635"/>
    <w:multiLevelType w:val="hybridMultilevel"/>
    <w:tmpl w:val="A7447F3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3" w15:restartNumberingAfterBreak="0">
    <w:nsid w:val="4F900067"/>
    <w:multiLevelType w:val="hybridMultilevel"/>
    <w:tmpl w:val="9CE6A0D2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4" w15:restartNumberingAfterBreak="0">
    <w:nsid w:val="53B766F3"/>
    <w:multiLevelType w:val="hybridMultilevel"/>
    <w:tmpl w:val="17927A26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7EB1034"/>
    <w:multiLevelType w:val="hybridMultilevel"/>
    <w:tmpl w:val="FF18E57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1D4052"/>
    <w:multiLevelType w:val="hybridMultilevel"/>
    <w:tmpl w:val="A2CC00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B657510"/>
    <w:multiLevelType w:val="hybridMultilevel"/>
    <w:tmpl w:val="1A7AFA3C"/>
    <w:lvl w:ilvl="0" w:tplc="F994642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C126218"/>
    <w:multiLevelType w:val="hybridMultilevel"/>
    <w:tmpl w:val="20E8E532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05E4C07"/>
    <w:multiLevelType w:val="hybridMultilevel"/>
    <w:tmpl w:val="2F82D79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C667F3"/>
    <w:multiLevelType w:val="hybridMultilevel"/>
    <w:tmpl w:val="5AFE13B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0EB5AB6"/>
    <w:multiLevelType w:val="hybridMultilevel"/>
    <w:tmpl w:val="720CAF1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0FA2281"/>
    <w:multiLevelType w:val="hybridMultilevel"/>
    <w:tmpl w:val="B5783CA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1973190"/>
    <w:multiLevelType w:val="hybridMultilevel"/>
    <w:tmpl w:val="40BA6B50"/>
    <w:lvl w:ilvl="0" w:tplc="0A3C15C8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4" w15:restartNumberingAfterBreak="0">
    <w:nsid w:val="64BD0616"/>
    <w:multiLevelType w:val="hybridMultilevel"/>
    <w:tmpl w:val="FAA64066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8AD1365"/>
    <w:multiLevelType w:val="hybridMultilevel"/>
    <w:tmpl w:val="B678BFC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A70152E"/>
    <w:multiLevelType w:val="hybridMultilevel"/>
    <w:tmpl w:val="CDA8399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B1839FE"/>
    <w:multiLevelType w:val="hybridMultilevel"/>
    <w:tmpl w:val="0024DB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B6416B5"/>
    <w:multiLevelType w:val="hybridMultilevel"/>
    <w:tmpl w:val="B6149568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9" w15:restartNumberingAfterBreak="0">
    <w:nsid w:val="727245E4"/>
    <w:multiLevelType w:val="hybridMultilevel"/>
    <w:tmpl w:val="ED5A3A0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302552A"/>
    <w:multiLevelType w:val="hybridMultilevel"/>
    <w:tmpl w:val="DC146F1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59228CF"/>
    <w:multiLevelType w:val="hybridMultilevel"/>
    <w:tmpl w:val="72AA781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AFD7FE6"/>
    <w:multiLevelType w:val="hybridMultilevel"/>
    <w:tmpl w:val="DED42D9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D6C6CDA"/>
    <w:multiLevelType w:val="hybridMultilevel"/>
    <w:tmpl w:val="74321078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4" w15:restartNumberingAfterBreak="0">
    <w:nsid w:val="7F68102C"/>
    <w:multiLevelType w:val="hybridMultilevel"/>
    <w:tmpl w:val="3424934C"/>
    <w:lvl w:ilvl="0" w:tplc="93E2EF4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4"/>
  </w:num>
  <w:num w:numId="4">
    <w:abstractNumId w:val="7"/>
  </w:num>
  <w:num w:numId="5">
    <w:abstractNumId w:val="37"/>
  </w:num>
  <w:num w:numId="6">
    <w:abstractNumId w:val="30"/>
  </w:num>
  <w:num w:numId="7">
    <w:abstractNumId w:val="44"/>
  </w:num>
  <w:num w:numId="8">
    <w:abstractNumId w:val="50"/>
  </w:num>
  <w:num w:numId="9">
    <w:abstractNumId w:val="39"/>
  </w:num>
  <w:num w:numId="10">
    <w:abstractNumId w:val="21"/>
  </w:num>
  <w:num w:numId="11">
    <w:abstractNumId w:val="46"/>
  </w:num>
  <w:num w:numId="12">
    <w:abstractNumId w:val="23"/>
  </w:num>
  <w:num w:numId="13">
    <w:abstractNumId w:val="49"/>
  </w:num>
  <w:num w:numId="14">
    <w:abstractNumId w:val="25"/>
  </w:num>
  <w:num w:numId="15">
    <w:abstractNumId w:val="22"/>
  </w:num>
  <w:num w:numId="16">
    <w:abstractNumId w:val="42"/>
  </w:num>
  <w:num w:numId="17">
    <w:abstractNumId w:val="31"/>
  </w:num>
  <w:num w:numId="18">
    <w:abstractNumId w:val="15"/>
  </w:num>
  <w:num w:numId="19">
    <w:abstractNumId w:val="54"/>
  </w:num>
  <w:num w:numId="20">
    <w:abstractNumId w:val="1"/>
  </w:num>
  <w:num w:numId="21">
    <w:abstractNumId w:val="35"/>
  </w:num>
  <w:num w:numId="22">
    <w:abstractNumId w:val="2"/>
  </w:num>
  <w:num w:numId="23">
    <w:abstractNumId w:val="45"/>
  </w:num>
  <w:num w:numId="24">
    <w:abstractNumId w:val="4"/>
  </w:num>
  <w:num w:numId="25">
    <w:abstractNumId w:val="5"/>
  </w:num>
  <w:num w:numId="26">
    <w:abstractNumId w:val="36"/>
  </w:num>
  <w:num w:numId="27">
    <w:abstractNumId w:val="47"/>
  </w:num>
  <w:num w:numId="28">
    <w:abstractNumId w:val="10"/>
  </w:num>
  <w:num w:numId="29">
    <w:abstractNumId w:val="19"/>
  </w:num>
  <w:num w:numId="30">
    <w:abstractNumId w:val="51"/>
  </w:num>
  <w:num w:numId="31">
    <w:abstractNumId w:val="40"/>
  </w:num>
  <w:num w:numId="32">
    <w:abstractNumId w:val="8"/>
  </w:num>
  <w:num w:numId="33">
    <w:abstractNumId w:val="41"/>
  </w:num>
  <w:num w:numId="34">
    <w:abstractNumId w:val="27"/>
  </w:num>
  <w:num w:numId="35">
    <w:abstractNumId w:val="52"/>
  </w:num>
  <w:num w:numId="36">
    <w:abstractNumId w:val="38"/>
  </w:num>
  <w:num w:numId="37">
    <w:abstractNumId w:val="13"/>
  </w:num>
  <w:num w:numId="38">
    <w:abstractNumId w:val="11"/>
  </w:num>
  <w:num w:numId="39">
    <w:abstractNumId w:val="43"/>
  </w:num>
  <w:num w:numId="40">
    <w:abstractNumId w:val="12"/>
  </w:num>
  <w:num w:numId="41">
    <w:abstractNumId w:val="29"/>
  </w:num>
  <w:num w:numId="42">
    <w:abstractNumId w:val="32"/>
  </w:num>
  <w:num w:numId="43">
    <w:abstractNumId w:val="18"/>
  </w:num>
  <w:num w:numId="44">
    <w:abstractNumId w:val="14"/>
  </w:num>
  <w:num w:numId="45">
    <w:abstractNumId w:val="33"/>
  </w:num>
  <w:num w:numId="46">
    <w:abstractNumId w:val="16"/>
  </w:num>
  <w:num w:numId="47">
    <w:abstractNumId w:val="26"/>
  </w:num>
  <w:num w:numId="48">
    <w:abstractNumId w:val="48"/>
  </w:num>
  <w:num w:numId="49">
    <w:abstractNumId w:val="20"/>
  </w:num>
  <w:num w:numId="50">
    <w:abstractNumId w:val="6"/>
  </w:num>
  <w:num w:numId="51">
    <w:abstractNumId w:val="28"/>
  </w:num>
  <w:num w:numId="52">
    <w:abstractNumId w:val="9"/>
  </w:num>
  <w:num w:numId="53">
    <w:abstractNumId w:val="3"/>
  </w:num>
  <w:num w:numId="54">
    <w:abstractNumId w:val="24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3"/>
    <w:rsid w:val="00011A53"/>
    <w:rsid w:val="000F2424"/>
    <w:rsid w:val="001A2FC6"/>
    <w:rsid w:val="002C7C8F"/>
    <w:rsid w:val="00643EA4"/>
    <w:rsid w:val="006550B3"/>
    <w:rsid w:val="006924A8"/>
    <w:rsid w:val="00745873"/>
    <w:rsid w:val="0079266B"/>
    <w:rsid w:val="0081216D"/>
    <w:rsid w:val="00851E9D"/>
    <w:rsid w:val="00877853"/>
    <w:rsid w:val="008F36D1"/>
    <w:rsid w:val="009C2FC0"/>
    <w:rsid w:val="00A95E5C"/>
    <w:rsid w:val="00B02FF2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02986-3FC8-404A-84A4-A044DAE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66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9266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9266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66B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79266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79266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79266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99"/>
    <w:qFormat/>
    <w:rsid w:val="007926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79266B"/>
    <w:rPr>
      <w:rFonts w:ascii="Cambria" w:eastAsia="新細明體" w:hAnsi="Cambria" w:cs="Times New Roman"/>
      <w:b/>
      <w:bCs/>
      <w:sz w:val="32"/>
      <w:szCs w:val="32"/>
    </w:rPr>
  </w:style>
  <w:style w:type="paragraph" w:styleId="a9">
    <w:name w:val="TOC Heading"/>
    <w:basedOn w:val="1"/>
    <w:next w:val="a"/>
    <w:uiPriority w:val="99"/>
    <w:qFormat/>
    <w:rsid w:val="0079266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79266B"/>
    <w:pPr>
      <w:ind w:leftChars="200" w:left="480"/>
    </w:pPr>
  </w:style>
  <w:style w:type="table" w:styleId="ab">
    <w:name w:val="Table Grid"/>
    <w:basedOn w:val="a1"/>
    <w:uiPriority w:val="39"/>
    <w:rsid w:val="007926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99"/>
    <w:rsid w:val="0079266B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Balloon Text"/>
    <w:basedOn w:val="a"/>
    <w:link w:val="ad"/>
    <w:uiPriority w:val="99"/>
    <w:semiHidden/>
    <w:rsid w:val="0079266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266B"/>
    <w:rPr>
      <w:rFonts w:ascii="Cambria" w:eastAsia="新細明體" w:hAnsi="Cambria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79266B"/>
    <w:pPr>
      <w:jc w:val="center"/>
    </w:pPr>
    <w:rPr>
      <w:rFonts w:ascii="Calibri" w:eastAsia="標楷體" w:hAnsi="Calibri"/>
      <w:sz w:val="28"/>
    </w:rPr>
  </w:style>
  <w:style w:type="character" w:customStyle="1" w:styleId="af">
    <w:name w:val="註釋標題 字元"/>
    <w:basedOn w:val="a0"/>
    <w:link w:val="ae"/>
    <w:uiPriority w:val="99"/>
    <w:rsid w:val="0079266B"/>
    <w:rPr>
      <w:rFonts w:ascii="Calibri" w:eastAsia="標楷體" w:hAnsi="Calibri" w:cs="Times New Roman"/>
      <w:sz w:val="28"/>
      <w:szCs w:val="24"/>
    </w:rPr>
  </w:style>
  <w:style w:type="paragraph" w:styleId="af0">
    <w:name w:val="Closing"/>
    <w:basedOn w:val="a"/>
    <w:link w:val="af1"/>
    <w:uiPriority w:val="99"/>
    <w:rsid w:val="0079266B"/>
    <w:pPr>
      <w:ind w:leftChars="1800" w:left="100"/>
    </w:pPr>
    <w:rPr>
      <w:rFonts w:ascii="Calibri" w:eastAsia="標楷體" w:hAnsi="Calibri"/>
      <w:sz w:val="28"/>
    </w:rPr>
  </w:style>
  <w:style w:type="character" w:customStyle="1" w:styleId="af1">
    <w:name w:val="結語 字元"/>
    <w:basedOn w:val="a0"/>
    <w:link w:val="af0"/>
    <w:uiPriority w:val="99"/>
    <w:rsid w:val="0079266B"/>
    <w:rPr>
      <w:rFonts w:ascii="Calibri" w:eastAsia="標楷體" w:hAnsi="Calibri" w:cs="Times New Roman"/>
      <w:sz w:val="28"/>
      <w:szCs w:val="24"/>
    </w:rPr>
  </w:style>
  <w:style w:type="table" w:styleId="1-5">
    <w:name w:val="Grid Table 1 Light Accent 5"/>
    <w:basedOn w:val="a1"/>
    <w:uiPriority w:val="46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List Table 1 Light Accent 5"/>
    <w:basedOn w:val="a1"/>
    <w:uiPriority w:val="46"/>
    <w:rsid w:val="0079266B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79266B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0">
    <w:name w:val="Grid Table 2 Accent 5"/>
    <w:basedOn w:val="a1"/>
    <w:uiPriority w:val="47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0">
    <w:name w:val="List Table 6 Colorful Accent 5"/>
    <w:basedOn w:val="a1"/>
    <w:uiPriority w:val="51"/>
    <w:rsid w:val="0079266B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1">
    <w:name w:val="表格格線1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4">
    <w:name w:val="Grid Table 4 Accent 4"/>
    <w:basedOn w:val="a1"/>
    <w:uiPriority w:val="49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5">
    <w:name w:val="List Table 3 Accent 5"/>
    <w:basedOn w:val="a1"/>
    <w:uiPriority w:val="48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0">
    <w:name w:val="List Table 4 Accent 5"/>
    <w:basedOn w:val="a1"/>
    <w:uiPriority w:val="49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1">
    <w:name w:val="表格格線2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79266B"/>
  </w:style>
  <w:style w:type="table" w:customStyle="1" w:styleId="31">
    <w:name w:val="表格格線3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79266B"/>
    <w:rPr>
      <w:color w:val="808080"/>
    </w:rPr>
  </w:style>
  <w:style w:type="table" w:customStyle="1" w:styleId="4">
    <w:name w:val="表格格線4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b"/>
    <w:locked/>
    <w:rsid w:val="007926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淺色網底 - 輔色 51"/>
    <w:basedOn w:val="a1"/>
    <w:next w:val="-5"/>
    <w:uiPriority w:val="60"/>
    <w:rsid w:val="0079266B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2">
    <w:name w:val="淺色網底 - 輔色 52"/>
    <w:basedOn w:val="a1"/>
    <w:next w:val="-5"/>
    <w:uiPriority w:val="60"/>
    <w:rsid w:val="0079266B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3">
    <w:name w:val="淺色網底 - 輔色 53"/>
    <w:basedOn w:val="a1"/>
    <w:next w:val="-5"/>
    <w:uiPriority w:val="60"/>
    <w:rsid w:val="0079266B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3">
    <w:name w:val="Hyperlink"/>
    <w:basedOn w:val="a0"/>
    <w:uiPriority w:val="99"/>
    <w:unhideWhenUsed/>
    <w:rsid w:val="0079266B"/>
    <w:rPr>
      <w:color w:val="0563C1" w:themeColor="hyperlink"/>
      <w:u w:val="single"/>
    </w:rPr>
  </w:style>
  <w:style w:type="table" w:customStyle="1" w:styleId="7">
    <w:name w:val="表格格線7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79266B"/>
  </w:style>
  <w:style w:type="table" w:customStyle="1" w:styleId="8">
    <w:name w:val="表格格線8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79266B"/>
  </w:style>
  <w:style w:type="paragraph" w:styleId="23">
    <w:name w:val="toc 2"/>
    <w:basedOn w:val="a"/>
    <w:next w:val="a"/>
    <w:autoRedefine/>
    <w:uiPriority w:val="39"/>
    <w:rsid w:val="0079266B"/>
    <w:pPr>
      <w:ind w:leftChars="200" w:left="480"/>
    </w:pPr>
  </w:style>
  <w:style w:type="paragraph" w:styleId="af4">
    <w:name w:val="No Spacing"/>
    <w:link w:val="af5"/>
    <w:uiPriority w:val="1"/>
    <w:qFormat/>
    <w:rsid w:val="0079266B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79266B"/>
    <w:rPr>
      <w:kern w:val="0"/>
      <w:sz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79266B"/>
    <w:pPr>
      <w:jc w:val="right"/>
    </w:pPr>
    <w:rPr>
      <w:rFonts w:ascii="Century Gothic" w:eastAsiaTheme="minorEastAsia" w:hAnsi="Century Gothic" w:cstheme="minorBidi"/>
      <w:szCs w:val="22"/>
    </w:rPr>
  </w:style>
  <w:style w:type="character" w:customStyle="1" w:styleId="af7">
    <w:name w:val="日期 字元"/>
    <w:basedOn w:val="a0"/>
    <w:link w:val="af6"/>
    <w:uiPriority w:val="99"/>
    <w:semiHidden/>
    <w:rsid w:val="0079266B"/>
    <w:rPr>
      <w:rFonts w:ascii="Century Gothic" w:hAnsi="Century Gothic"/>
    </w:rPr>
  </w:style>
  <w:style w:type="character" w:styleId="af8">
    <w:name w:val="FollowedHyperlink"/>
    <w:basedOn w:val="a0"/>
    <w:uiPriority w:val="99"/>
    <w:semiHidden/>
    <w:unhideWhenUsed/>
    <w:rsid w:val="0079266B"/>
    <w:rPr>
      <w:color w:val="800080"/>
      <w:u w:val="single"/>
    </w:rPr>
  </w:style>
  <w:style w:type="paragraph" w:customStyle="1" w:styleId="font1">
    <w:name w:val="font1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5">
    <w:name w:val="font5"/>
    <w:basedOn w:val="a"/>
    <w:rsid w:val="0079266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6">
    <w:name w:val="font6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00"/>
      <w:kern w:val="0"/>
    </w:rPr>
  </w:style>
  <w:style w:type="paragraph" w:customStyle="1" w:styleId="font7">
    <w:name w:val="font7"/>
    <w:basedOn w:val="a"/>
    <w:rsid w:val="007926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font9">
    <w:name w:val="font9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0">
    <w:name w:val="font10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00"/>
      <w:kern w:val="0"/>
    </w:rPr>
  </w:style>
  <w:style w:type="paragraph" w:customStyle="1" w:styleId="font11">
    <w:name w:val="font11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000000"/>
      <w:kern w:val="0"/>
    </w:rPr>
  </w:style>
  <w:style w:type="paragraph" w:customStyle="1" w:styleId="font12">
    <w:name w:val="font12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font13">
    <w:name w:val="font13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u w:val="single"/>
    </w:rPr>
  </w:style>
  <w:style w:type="paragraph" w:customStyle="1" w:styleId="font14">
    <w:name w:val="font14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u w:val="single"/>
    </w:rPr>
  </w:style>
  <w:style w:type="paragraph" w:customStyle="1" w:styleId="font15">
    <w:name w:val="font15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</w:rPr>
  </w:style>
  <w:style w:type="paragraph" w:customStyle="1" w:styleId="font16">
    <w:name w:val="font16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7">
    <w:name w:val="font17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font18">
    <w:name w:val="font18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font19">
    <w:name w:val="font19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kern w:val="0"/>
    </w:rPr>
  </w:style>
  <w:style w:type="paragraph" w:customStyle="1" w:styleId="font20">
    <w:name w:val="font20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font21">
    <w:name w:val="font21"/>
    <w:basedOn w:val="a"/>
    <w:rsid w:val="0079266B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customStyle="1" w:styleId="font22">
    <w:name w:val="font22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font23">
    <w:name w:val="font23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font24">
    <w:name w:val="font24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font25">
    <w:name w:val="font25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6">
    <w:name w:val="font26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kern w:val="0"/>
    </w:rPr>
  </w:style>
  <w:style w:type="paragraph" w:customStyle="1" w:styleId="font27">
    <w:name w:val="font27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28">
    <w:name w:val="font28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9">
    <w:name w:val="font29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</w:rPr>
  </w:style>
  <w:style w:type="paragraph" w:customStyle="1" w:styleId="font30">
    <w:name w:val="font30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1">
    <w:name w:val="font31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32">
    <w:name w:val="font32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3">
    <w:name w:val="font33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4">
    <w:name w:val="font34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font35">
    <w:name w:val="font35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6">
    <w:name w:val="font36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7">
    <w:name w:val="font37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8">
    <w:name w:val="font38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sz w:val="28"/>
      <w:szCs w:val="28"/>
      <w:u w:val="single"/>
    </w:rPr>
  </w:style>
  <w:style w:type="paragraph" w:customStyle="1" w:styleId="font39">
    <w:name w:val="font39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sz w:val="28"/>
      <w:szCs w:val="28"/>
      <w:u w:val="single"/>
    </w:rPr>
  </w:style>
  <w:style w:type="paragraph" w:customStyle="1" w:styleId="font40">
    <w:name w:val="font40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</w:rPr>
  </w:style>
  <w:style w:type="paragraph" w:customStyle="1" w:styleId="font41">
    <w:name w:val="font41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xl63">
    <w:name w:val="xl63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4">
    <w:name w:val="xl64"/>
    <w:basedOn w:val="a"/>
    <w:rsid w:val="0079266B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5">
    <w:name w:val="xl65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6">
    <w:name w:val="xl6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7">
    <w:name w:val="xl6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8">
    <w:name w:val="xl6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9">
    <w:name w:val="xl6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70">
    <w:name w:val="xl7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1">
    <w:name w:val="xl7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2">
    <w:name w:val="xl72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3">
    <w:name w:val="xl7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4">
    <w:name w:val="xl7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5">
    <w:name w:val="xl7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6">
    <w:name w:val="xl7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7">
    <w:name w:val="xl7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8">
    <w:name w:val="xl7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9">
    <w:name w:val="xl7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0">
    <w:name w:val="xl8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1">
    <w:name w:val="xl8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2">
    <w:name w:val="xl8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xl83">
    <w:name w:val="xl8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84">
    <w:name w:val="xl8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5">
    <w:name w:val="xl8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6">
    <w:name w:val="xl8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7">
    <w:name w:val="xl8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8">
    <w:name w:val="xl8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9">
    <w:name w:val="xl8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0">
    <w:name w:val="xl9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91">
    <w:name w:val="xl9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92">
    <w:name w:val="xl9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93">
    <w:name w:val="xl9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4">
    <w:name w:val="xl9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95">
    <w:name w:val="xl9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6">
    <w:name w:val="xl9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7">
    <w:name w:val="xl9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8">
    <w:name w:val="xl9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99">
    <w:name w:val="xl9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0">
    <w:name w:val="xl10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101">
    <w:name w:val="xl10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2">
    <w:name w:val="xl10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3">
    <w:name w:val="xl10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4">
    <w:name w:val="xl104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5">
    <w:name w:val="xl10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6">
    <w:name w:val="xl10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7">
    <w:name w:val="xl10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8">
    <w:name w:val="xl10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9">
    <w:name w:val="xl10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10">
    <w:name w:val="xl11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1">
    <w:name w:val="xl11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2">
    <w:name w:val="xl11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3">
    <w:name w:val="xl11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4">
    <w:name w:val="xl11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5">
    <w:name w:val="xl115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6">
    <w:name w:val="xl11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117">
    <w:name w:val="xl11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8">
    <w:name w:val="xl11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9">
    <w:name w:val="xl11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0">
    <w:name w:val="xl12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1">
    <w:name w:val="xl12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2">
    <w:name w:val="xl12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3">
    <w:name w:val="xl12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4">
    <w:name w:val="xl12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5">
    <w:name w:val="xl12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6">
    <w:name w:val="xl12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7">
    <w:name w:val="xl12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8">
    <w:name w:val="xl12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9">
    <w:name w:val="xl12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0">
    <w:name w:val="xl13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1">
    <w:name w:val="xl13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2">
    <w:name w:val="xl13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3">
    <w:name w:val="xl13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4">
    <w:name w:val="xl13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5">
    <w:name w:val="xl135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6">
    <w:name w:val="xl13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7">
    <w:name w:val="xl13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8">
    <w:name w:val="xl13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9">
    <w:name w:val="xl13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40">
    <w:name w:val="xl14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41">
    <w:name w:val="xl14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2">
    <w:name w:val="xl14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3">
    <w:name w:val="xl14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4">
    <w:name w:val="xl14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5">
    <w:name w:val="xl14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6">
    <w:name w:val="xl14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7">
    <w:name w:val="xl14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8">
    <w:name w:val="xl14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9">
    <w:name w:val="xl14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0">
    <w:name w:val="xl15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1">
    <w:name w:val="xl15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2">
    <w:name w:val="xl15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3">
    <w:name w:val="xl15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4">
    <w:name w:val="xl15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5">
    <w:name w:val="xl15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6">
    <w:name w:val="xl15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7">
    <w:name w:val="xl157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8">
    <w:name w:val="xl15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9">
    <w:name w:val="xl15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60">
    <w:name w:val="xl16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xl161">
    <w:name w:val="xl16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2">
    <w:name w:val="xl16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3">
    <w:name w:val="xl16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4">
    <w:name w:val="xl16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5">
    <w:name w:val="xl16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6">
    <w:name w:val="xl16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7">
    <w:name w:val="xl167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8">
    <w:name w:val="xl168"/>
    <w:basedOn w:val="a"/>
    <w:rsid w:val="007926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9">
    <w:name w:val="xl169"/>
    <w:basedOn w:val="a"/>
    <w:rsid w:val="007926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0">
    <w:name w:val="xl170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1">
    <w:name w:val="xl171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2">
    <w:name w:val="xl17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3">
    <w:name w:val="xl173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4">
    <w:name w:val="xl17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5">
    <w:name w:val="xl175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76">
    <w:name w:val="xl176"/>
    <w:basedOn w:val="a"/>
    <w:rsid w:val="0079266B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7">
    <w:name w:val="xl17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8">
    <w:name w:val="xl17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9">
    <w:name w:val="xl17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0">
    <w:name w:val="xl18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81">
    <w:name w:val="xl18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2">
    <w:name w:val="xl182"/>
    <w:basedOn w:val="a"/>
    <w:rsid w:val="007926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3">
    <w:name w:val="xl183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4">
    <w:name w:val="xl184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5">
    <w:name w:val="xl185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6">
    <w:name w:val="xl186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7">
    <w:name w:val="xl187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8">
    <w:name w:val="xl188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9">
    <w:name w:val="xl189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0">
    <w:name w:val="xl190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1">
    <w:name w:val="xl191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2">
    <w:name w:val="xl192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3">
    <w:name w:val="xl193"/>
    <w:basedOn w:val="a"/>
    <w:rsid w:val="0079266B"/>
    <w:pPr>
      <w:widowControl/>
      <w:pBdr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4">
    <w:name w:val="xl194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5">
    <w:name w:val="xl195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6">
    <w:name w:val="xl196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7">
    <w:name w:val="xl197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98">
    <w:name w:val="xl198"/>
    <w:basedOn w:val="a"/>
    <w:rsid w:val="0079266B"/>
    <w:pPr>
      <w:widowControl/>
      <w:pBdr>
        <w:bottom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9">
    <w:name w:val="xl199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0">
    <w:name w:val="xl200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1">
    <w:name w:val="xl201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2">
    <w:name w:val="xl20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3">
    <w:name w:val="xl203"/>
    <w:basedOn w:val="a"/>
    <w:rsid w:val="0079266B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4">
    <w:name w:val="xl204"/>
    <w:basedOn w:val="a"/>
    <w:rsid w:val="0079266B"/>
    <w:pPr>
      <w:widowControl/>
      <w:pBdr>
        <w:bottom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5">
    <w:name w:val="xl20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206">
    <w:name w:val="xl206"/>
    <w:basedOn w:val="a"/>
    <w:rsid w:val="0079266B"/>
    <w:pPr>
      <w:widowControl/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7">
    <w:name w:val="xl20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8">
    <w:name w:val="xl20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9">
    <w:name w:val="xl20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10">
    <w:name w:val="xl21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customStyle="1" w:styleId="xl211">
    <w:name w:val="xl21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styleId="af9">
    <w:name w:val="Revision"/>
    <w:hidden/>
    <w:uiPriority w:val="99"/>
    <w:semiHidden/>
    <w:rsid w:val="0079266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3</cp:revision>
  <dcterms:created xsi:type="dcterms:W3CDTF">2017-06-02T08:08:00Z</dcterms:created>
  <dcterms:modified xsi:type="dcterms:W3CDTF">2017-06-02T08:18:00Z</dcterms:modified>
</cp:coreProperties>
</file>